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A" w:rsidRDefault="0010299A">
      <w:pPr>
        <w:pStyle w:val="ConsPlusTitlePage"/>
      </w:pPr>
      <w:bookmarkStart w:id="0" w:name="_GoBack"/>
      <w:bookmarkEnd w:id="0"/>
      <w:r>
        <w:br/>
      </w:r>
    </w:p>
    <w:p w:rsidR="0010299A" w:rsidRDefault="0010299A">
      <w:pPr>
        <w:pStyle w:val="ConsPlusNormal"/>
        <w:jc w:val="both"/>
        <w:outlineLvl w:val="0"/>
      </w:pPr>
    </w:p>
    <w:p w:rsidR="0010299A" w:rsidRDefault="001029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299A" w:rsidRDefault="0010299A">
      <w:pPr>
        <w:pStyle w:val="ConsPlusTitle"/>
        <w:jc w:val="center"/>
      </w:pPr>
    </w:p>
    <w:p w:rsidR="0010299A" w:rsidRDefault="0010299A">
      <w:pPr>
        <w:pStyle w:val="ConsPlusTitle"/>
        <w:jc w:val="center"/>
      </w:pPr>
      <w:r>
        <w:t>ПОСТАНОВЛЕНИЕ</w:t>
      </w:r>
    </w:p>
    <w:p w:rsidR="0010299A" w:rsidRDefault="0010299A">
      <w:pPr>
        <w:pStyle w:val="ConsPlusTitle"/>
        <w:jc w:val="center"/>
      </w:pPr>
      <w:r>
        <w:t>от 6 октября 2008 г. N 743</w:t>
      </w:r>
    </w:p>
    <w:p w:rsidR="0010299A" w:rsidRDefault="0010299A">
      <w:pPr>
        <w:pStyle w:val="ConsPlusTitle"/>
        <w:jc w:val="center"/>
      </w:pPr>
    </w:p>
    <w:p w:rsidR="0010299A" w:rsidRDefault="0010299A">
      <w:pPr>
        <w:pStyle w:val="ConsPlusTitle"/>
        <w:jc w:val="center"/>
      </w:pPr>
      <w:r>
        <w:t>ОБ УТВЕРЖДЕНИИ ПРАВИЛ</w:t>
      </w:r>
    </w:p>
    <w:p w:rsidR="0010299A" w:rsidRDefault="0010299A">
      <w:pPr>
        <w:pStyle w:val="ConsPlusTitle"/>
        <w:jc w:val="center"/>
      </w:pPr>
      <w:r>
        <w:t>УСТАНОВЛЕНИЯ РЫБООХРАННЫХ ЗОН</w:t>
      </w:r>
    </w:p>
    <w:p w:rsidR="0010299A" w:rsidRDefault="001029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9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99A" w:rsidRDefault="00102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99A" w:rsidRDefault="00102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20.01.2016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99A" w:rsidRDefault="00102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6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99A" w:rsidRDefault="0010299A">
      <w:pPr>
        <w:pStyle w:val="ConsPlusNormal"/>
        <w:jc w:val="center"/>
      </w:pPr>
    </w:p>
    <w:p w:rsidR="0010299A" w:rsidRDefault="0010299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48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установления рыбоохранных зон.</w:t>
      </w:r>
    </w:p>
    <w:p w:rsidR="0010299A" w:rsidRDefault="0010299A">
      <w:pPr>
        <w:pStyle w:val="ConsPlusNormal"/>
        <w:ind w:firstLine="540"/>
        <w:jc w:val="both"/>
      </w:pPr>
    </w:p>
    <w:p w:rsidR="0010299A" w:rsidRDefault="0010299A">
      <w:pPr>
        <w:pStyle w:val="ConsPlusNormal"/>
        <w:jc w:val="right"/>
      </w:pPr>
      <w:r>
        <w:t>Председатель Правительства</w:t>
      </w:r>
    </w:p>
    <w:p w:rsidR="0010299A" w:rsidRDefault="0010299A">
      <w:pPr>
        <w:pStyle w:val="ConsPlusNormal"/>
        <w:jc w:val="right"/>
      </w:pPr>
      <w:r>
        <w:t>Российской Федерации</w:t>
      </w:r>
    </w:p>
    <w:p w:rsidR="0010299A" w:rsidRDefault="0010299A">
      <w:pPr>
        <w:pStyle w:val="ConsPlusNormal"/>
        <w:jc w:val="right"/>
      </w:pPr>
      <w:r>
        <w:t>В.ПУТИН</w:t>
      </w:r>
    </w:p>
    <w:p w:rsidR="0010299A" w:rsidRDefault="0010299A">
      <w:pPr>
        <w:pStyle w:val="ConsPlusNormal"/>
        <w:jc w:val="right"/>
      </w:pPr>
    </w:p>
    <w:p w:rsidR="0010299A" w:rsidRDefault="0010299A">
      <w:pPr>
        <w:pStyle w:val="ConsPlusNormal"/>
        <w:jc w:val="right"/>
      </w:pPr>
    </w:p>
    <w:p w:rsidR="0010299A" w:rsidRDefault="0010299A">
      <w:pPr>
        <w:pStyle w:val="ConsPlusNormal"/>
        <w:jc w:val="right"/>
      </w:pPr>
    </w:p>
    <w:p w:rsidR="0010299A" w:rsidRDefault="0010299A">
      <w:pPr>
        <w:pStyle w:val="ConsPlusNormal"/>
        <w:jc w:val="right"/>
      </w:pPr>
    </w:p>
    <w:p w:rsidR="0010299A" w:rsidRDefault="0010299A">
      <w:pPr>
        <w:pStyle w:val="ConsPlusNormal"/>
        <w:ind w:firstLine="540"/>
        <w:jc w:val="both"/>
      </w:pPr>
    </w:p>
    <w:p w:rsidR="0010299A" w:rsidRDefault="0010299A">
      <w:pPr>
        <w:pStyle w:val="ConsPlusNormal"/>
        <w:jc w:val="right"/>
        <w:outlineLvl w:val="0"/>
      </w:pPr>
      <w:r>
        <w:t>Утверждены</w:t>
      </w:r>
    </w:p>
    <w:p w:rsidR="0010299A" w:rsidRDefault="0010299A">
      <w:pPr>
        <w:pStyle w:val="ConsPlusNormal"/>
        <w:jc w:val="right"/>
      </w:pPr>
      <w:r>
        <w:t>Постановлением Правительства</w:t>
      </w:r>
    </w:p>
    <w:p w:rsidR="0010299A" w:rsidRDefault="0010299A">
      <w:pPr>
        <w:pStyle w:val="ConsPlusNormal"/>
        <w:jc w:val="right"/>
      </w:pPr>
      <w:r>
        <w:t>Российской Федерации</w:t>
      </w:r>
    </w:p>
    <w:p w:rsidR="0010299A" w:rsidRDefault="0010299A">
      <w:pPr>
        <w:pStyle w:val="ConsPlusNormal"/>
        <w:jc w:val="right"/>
      </w:pPr>
      <w:r>
        <w:t>от 6 октября 2008 г. N 743</w:t>
      </w:r>
    </w:p>
    <w:p w:rsidR="0010299A" w:rsidRDefault="0010299A">
      <w:pPr>
        <w:pStyle w:val="ConsPlusNormal"/>
        <w:jc w:val="right"/>
      </w:pPr>
    </w:p>
    <w:p w:rsidR="0010299A" w:rsidRDefault="0010299A">
      <w:pPr>
        <w:pStyle w:val="ConsPlusTitle"/>
        <w:jc w:val="center"/>
      </w:pPr>
      <w:bookmarkStart w:id="1" w:name="P28"/>
      <w:bookmarkEnd w:id="1"/>
      <w:r>
        <w:t>ПРАВИЛА</w:t>
      </w:r>
    </w:p>
    <w:p w:rsidR="0010299A" w:rsidRDefault="0010299A">
      <w:pPr>
        <w:pStyle w:val="ConsPlusTitle"/>
        <w:jc w:val="center"/>
      </w:pPr>
      <w:r>
        <w:t>УСТАНОВЛЕНИЯ РЫБООХРАННЫХ ЗОН</w:t>
      </w:r>
    </w:p>
    <w:p w:rsidR="0010299A" w:rsidRDefault="001029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9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99A" w:rsidRDefault="00102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99A" w:rsidRDefault="00102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20.01.2016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99A" w:rsidRDefault="00102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9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99A" w:rsidRDefault="0010299A">
      <w:pPr>
        <w:pStyle w:val="ConsPlusNormal"/>
        <w:jc w:val="center"/>
      </w:pPr>
    </w:p>
    <w:p w:rsidR="0010299A" w:rsidRDefault="0010299A">
      <w:pPr>
        <w:pStyle w:val="ConsPlusNormal"/>
        <w:ind w:firstLine="540"/>
        <w:jc w:val="both"/>
      </w:pPr>
      <w:r>
        <w:t>1. Настоящие Правила определяют порядок установления рыбоохранных зон, ограничения осуществления хозяйственной и иной деятельности и особенности введения таких ограничений в рыбоохранных зонах.</w:t>
      </w:r>
    </w:p>
    <w:p w:rsidR="0010299A" w:rsidRDefault="00102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20.01.2016 N 11)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2. 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3. Рыбоохранной зоной является территория, прилегающая к акватории водного объекта </w:t>
      </w:r>
      <w:proofErr w:type="spellStart"/>
      <w:r>
        <w:t>рыбохозяйственного</w:t>
      </w:r>
      <w:proofErr w:type="spellEnd"/>
      <w:r>
        <w:t xml:space="preserve"> значения, на которой вводятся ограничения хозяйственной и иной деятельности.</w:t>
      </w:r>
    </w:p>
    <w:p w:rsidR="0010299A" w:rsidRDefault="00102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20.01.2016 N 11)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lastRenderedPageBreak/>
        <w:t>4. Ширина рыбоохранной зоны рек и ручьев устанавливается от их истока до устья и составляет для рек и ручьев протяженностью: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до 10 километров - 50 метров;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от 10 до 50 километров - 100 метров;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от 50 километров и более - 200 метров.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5. Ширина рыбоохранной зоны озера, водохранилища, за исключением водохранилища, расположенного на водотоке, или озера, расположенного внутри болота, устанавливается в размере 50 метров.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6. Ширина рыбоохранной зоны водохранилища, расположенного на водотоке, устанавливается равной ширине рыбоохранной зоны этого водотока.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7. Ширина рыбоохранной зоны моря составляет 500 метров.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8. Ширина рыбоохранных зон магистральных или межхозяйственных каналов совпадает по ширине с полосами отводов таких каналов.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9. Рыбоохранные зоны для рек, ручьев или их частей, помещенных в закрытые коллекторы, не устанавливаются.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10. Ширина рыбоохранных зон рек, ручьев, озер, водохранилищ, имеющих особо ценное </w:t>
      </w:r>
      <w:proofErr w:type="spellStart"/>
      <w:r>
        <w:t>рыбохозяйственное</w:t>
      </w:r>
      <w:proofErr w:type="spellEnd"/>
      <w:r>
        <w:t xml:space="preserve"> значение (места нагула, зимовки, нереста и размножения водных биологических ресурсов), устанавливается в размере 200 метров.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11. Ширина рыбоохранных зон прудов, обводненных карьеров, имеющих гидравлическую связь с реками, ручьями, озерами, водохранилищами и морями, составляет 50 метров.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12. Территориальные органы Федерального агентства по рыболовству осуществляют подготовку предложений об установлении рыбоохранных зон водных объектов </w:t>
      </w:r>
      <w:proofErr w:type="spellStart"/>
      <w:r>
        <w:t>рыбохозяйственного</w:t>
      </w:r>
      <w:proofErr w:type="spellEnd"/>
      <w:r>
        <w:t xml:space="preserve"> значения с учетом ценности и состава водных биологических ресурсов, их рыбопромыслового значения, в том числе для обеспечения жизнедеятельности населения, и направляют их в Федеральное агентство по рыболовству.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13. Федеральное агентство по рыболовству рассматривает предложения территориальных органов об установлении рыбоохранных зон водных объектов </w:t>
      </w:r>
      <w:proofErr w:type="spellStart"/>
      <w:r>
        <w:t>рыбохозяйственного</w:t>
      </w:r>
      <w:proofErr w:type="spellEnd"/>
      <w:r>
        <w:t xml:space="preserve"> значения и принимает решение об их установлении.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Федеральное агентство по рыболовству информирует заинтересованные федеральные органы исполнительной власти, органы исполнительной власти субъектов Российской Федерации, органы местного самоуправления, а также юридических и физических лиц об установлении рыбоохранных зон водных объектов </w:t>
      </w:r>
      <w:proofErr w:type="spellStart"/>
      <w:r>
        <w:t>рыбохозяйственного</w:t>
      </w:r>
      <w:proofErr w:type="spellEnd"/>
      <w:r>
        <w:t xml:space="preserve"> значения путем размещения соответствующей информации в средствах массовой информации и на своем официальном сайте в сети Интернет и обеспечивает установление на местности границ рыбоохранных зон посредством размещения специальных</w:t>
      </w:r>
      <w:proofErr w:type="gramEnd"/>
      <w:r>
        <w:t xml:space="preserve"> информационных знаков в </w:t>
      </w:r>
      <w:hyperlink r:id="rId12" w:history="1">
        <w:r>
          <w:rPr>
            <w:color w:val="0000FF"/>
          </w:rPr>
          <w:t>порядке</w:t>
        </w:r>
      </w:hyperlink>
      <w:r>
        <w:t>, определяемом Федеральным агентством по рыболовству.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15.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ресурсов, водного законодательства и законодательства в области охраны окружающей среды, необходимых для сохранения условий воспроизводства водных биологических ресурсов.</w:t>
      </w:r>
    </w:p>
    <w:p w:rsidR="0010299A" w:rsidRDefault="001029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20.01.2016 N 11)</w:t>
      </w:r>
    </w:p>
    <w:p w:rsidR="0010299A" w:rsidRDefault="0010299A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>16. В целях сохранения условий для воспроизводства водных биологических ресурсов устанавливаются ограничения, в соответствии с которыми в границах рыбоохранных зон запрещаются: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а) использование сточных вод в целях регулирования плодородия почв;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в) осуществление авиационных мер по борьбе с вредными организмами;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0299A" w:rsidRDefault="0010299A">
      <w:pPr>
        <w:pStyle w:val="ConsPlusNormal"/>
        <w:spacing w:before="220"/>
        <w:ind w:firstLine="540"/>
        <w:jc w:val="both"/>
      </w:pPr>
      <w:proofErr w:type="gramStart"/>
      <w:r>
        <w:t xml:space="preserve">д)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транспортного средства;</w:t>
      </w:r>
      <w:proofErr w:type="gramEnd"/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е)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ж) сброс сточных, в том числе дренажных, вод;</w:t>
      </w:r>
    </w:p>
    <w:p w:rsidR="0010299A" w:rsidRDefault="0010299A">
      <w:pPr>
        <w:pStyle w:val="ConsPlusNormal"/>
        <w:spacing w:before="220"/>
        <w:ind w:firstLine="540"/>
        <w:jc w:val="both"/>
      </w:pPr>
      <w:proofErr w:type="gramStart"/>
      <w:r>
        <w:t xml:space="preserve"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</w:t>
      </w:r>
      <w:hyperlink r:id="rId15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недрах");</w:t>
      </w:r>
      <w:proofErr w:type="gramEnd"/>
    </w:p>
    <w:p w:rsidR="0010299A" w:rsidRDefault="0010299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1822)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и) распашка земель;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к) размещение отвалов размываемых грунтов;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>л) выпас сельскохозяйственных животных и организация для них летних лагерей, ванн.</w:t>
      </w:r>
    </w:p>
    <w:p w:rsidR="0010299A" w:rsidRDefault="0010299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20.01.2016 N 11)</w:t>
      </w:r>
    </w:p>
    <w:p w:rsidR="0010299A" w:rsidRDefault="0010299A">
      <w:pPr>
        <w:pStyle w:val="ConsPlusNormal"/>
        <w:spacing w:before="220"/>
        <w:ind w:firstLine="540"/>
        <w:jc w:val="both"/>
      </w:pPr>
      <w:r>
        <w:t xml:space="preserve">17. Ограничения осуществления хозяйственной и иной деятельности в рыбоохранных зонах, указанные в </w:t>
      </w:r>
      <w:hyperlink w:anchor="P55" w:history="1">
        <w:r>
          <w:rPr>
            <w:color w:val="0000FF"/>
          </w:rPr>
          <w:t>пункте 16</w:t>
        </w:r>
      </w:hyperlink>
      <w:r>
        <w:t xml:space="preserve"> настоящих Правил, вводятся при принятии Федеральным агентством по рыболовству решения об установлении рыбоохранных зон.</w:t>
      </w:r>
    </w:p>
    <w:p w:rsidR="0010299A" w:rsidRDefault="001029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20.01.2016 N 11)</w:t>
      </w:r>
    </w:p>
    <w:p w:rsidR="0010299A" w:rsidRDefault="0010299A">
      <w:pPr>
        <w:pStyle w:val="ConsPlusNormal"/>
        <w:ind w:firstLine="540"/>
        <w:jc w:val="both"/>
      </w:pPr>
    </w:p>
    <w:p w:rsidR="0010299A" w:rsidRDefault="0010299A">
      <w:pPr>
        <w:pStyle w:val="ConsPlusNormal"/>
        <w:ind w:firstLine="540"/>
        <w:jc w:val="both"/>
      </w:pPr>
    </w:p>
    <w:p w:rsidR="0010299A" w:rsidRDefault="00102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E9" w:rsidRDefault="001038E9"/>
    <w:sectPr w:rsidR="001038E9" w:rsidSect="00CE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9A"/>
    <w:rsid w:val="0010299A"/>
    <w:rsid w:val="001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61B71328A289259A022F2DD7B3BA6B24F21C50E685E7884C9CEF443A9B9C904C2A30A1C6DFD7CDE76D7EC4E2D2FBc8PBN" TargetMode="External"/><Relationship Id="rId13" Type="http://schemas.openxmlformats.org/officeDocument/2006/relationships/hyperlink" Target="consultantplus://offline/ref=E3C1A9973E997DD1135061B71328A289259A022F2DD7B3BA6B24F21C50E685E7884C9CEF443A9B9D974C2A30A1C6DFD7CDE76D7EC4E2D2FBc8PBN" TargetMode="External"/><Relationship Id="rId18" Type="http://schemas.openxmlformats.org/officeDocument/2006/relationships/hyperlink" Target="consultantplus://offline/ref=E3C1A9973E997DD1135061B71328A289259A022F2DD7B3BA6B24F21C50E685E7884C9CEF443A9B9E934C2A30A1C6DFD7CDE76D7EC4E2D2FBc8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1A9973E997DD1135061B71328A289279400242DD8B3BA6B24F21C50E685E7884C9CEF443A999B904C2A30A1C6DFD7CDE76D7EC4E2D2FBc8PBN" TargetMode="External"/><Relationship Id="rId12" Type="http://schemas.openxmlformats.org/officeDocument/2006/relationships/hyperlink" Target="consultantplus://offline/ref=E3C1A9973E997DD1135061B71328A289279301232ED4B3BA6B24F21C50E685E7884C9CEF443A9B9D944C2A30A1C6DFD7CDE76D7EC4E2D2FBc8PBN" TargetMode="External"/><Relationship Id="rId17" Type="http://schemas.openxmlformats.org/officeDocument/2006/relationships/hyperlink" Target="consultantplus://offline/ref=E3C1A9973E997DD1135061B71328A289259A022F2DD7B3BA6B24F21C50E685E7884C9CEF443A9B9D914C2A30A1C6DFD7CDE76D7EC4E2D2FBc8P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1A9973E997DD1135061B71328A289279508272CD1B3BA6B24F21C50E685E7884C9CEF443A9B9D914C2A30A1C6DFD7CDE76D7EC4E2D2FBc8P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1A9973E997DD1135061B71328A289279508272CD1B3BA6B24F21C50E685E7884C9CEF443A9B9D914C2A30A1C6DFD7CDE76D7EC4E2D2FBc8PBN" TargetMode="External"/><Relationship Id="rId11" Type="http://schemas.openxmlformats.org/officeDocument/2006/relationships/hyperlink" Target="consultantplus://offline/ref=E3C1A9973E997DD1135061B71328A289259A022F2DD7B3BA6B24F21C50E685E7884C9CEF443A9B9D944C2A30A1C6DFD7CDE76D7EC4E2D2FBc8PBN" TargetMode="External"/><Relationship Id="rId5" Type="http://schemas.openxmlformats.org/officeDocument/2006/relationships/hyperlink" Target="consultantplus://offline/ref=E3C1A9973E997DD1135061B71328A289259A022F2DD7B3BA6B24F21C50E685E7884C9CEF443A9B9C904C2A30A1C6DFD7CDE76D7EC4E2D2FBc8PBN" TargetMode="External"/><Relationship Id="rId15" Type="http://schemas.openxmlformats.org/officeDocument/2006/relationships/hyperlink" Target="consultantplus://offline/ref=E3C1A9973E997DD1135061B71328A2892794002422D0B3BA6B24F21C50E685E7884C9CEF433D90C8C4032B6CE590CCD7CCE76F7CD8cEP1N" TargetMode="External"/><Relationship Id="rId10" Type="http://schemas.openxmlformats.org/officeDocument/2006/relationships/hyperlink" Target="consultantplus://offline/ref=E3C1A9973E997DD1135061B71328A289259A022F2DD7B3BA6B24F21C50E685E7884C9CEF443A9B9D954C2A30A1C6DFD7CDE76D7EC4E2D2FBc8PB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1A9973E997DD1135061B71328A289279508272CD1B3BA6B24F21C50E685E7884C9CEF443A9B9D914C2A30A1C6DFD7CDE76D7EC4E2D2FBc8PBN" TargetMode="External"/><Relationship Id="rId14" Type="http://schemas.openxmlformats.org/officeDocument/2006/relationships/hyperlink" Target="consultantplus://offline/ref=E3C1A9973E997DD1135061B71328A2892796062F23D3B3BA6B24F21C50E685E79A4CC4E34439859C97597C61E7c9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2021-02-03T13:15:00Z</dcterms:created>
  <dcterms:modified xsi:type="dcterms:W3CDTF">2021-02-03T13:15:00Z</dcterms:modified>
</cp:coreProperties>
</file>